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A9" w:rsidRPr="006A23A9" w:rsidRDefault="006A23A9" w:rsidP="006A23A9">
      <w:pPr>
        <w:spacing w:after="0" w:line="240" w:lineRule="auto"/>
        <w:outlineLvl w:val="0"/>
        <w:rPr>
          <w:rFonts w:ascii="Helvetica" w:eastAsia="Times New Roman" w:hAnsi="Helvetica" w:cs="Helvetica"/>
          <w:color w:val="87060B"/>
          <w:kern w:val="36"/>
          <w:sz w:val="30"/>
          <w:szCs w:val="30"/>
          <w:lang w:eastAsia="it-IT"/>
        </w:rPr>
      </w:pPr>
      <w:proofErr w:type="spellStart"/>
      <w:r w:rsidRPr="006A23A9">
        <w:rPr>
          <w:rFonts w:ascii="Helvetica" w:eastAsia="Times New Roman" w:hAnsi="Helvetica" w:cs="Helvetica"/>
          <w:color w:val="87060B"/>
          <w:kern w:val="36"/>
          <w:sz w:val="30"/>
          <w:szCs w:val="30"/>
          <w:lang w:eastAsia="it-IT"/>
        </w:rPr>
        <w:t>fitosorveglianza</w:t>
      </w:r>
      <w:proofErr w:type="spellEnd"/>
    </w:p>
    <w:p w:rsidR="006A23A9" w:rsidRPr="006A23A9" w:rsidRDefault="006A23A9" w:rsidP="006A23A9">
      <w:pPr>
        <w:shd w:val="clear" w:color="auto" w:fill="FFFFFF"/>
        <w:spacing w:after="0" w:line="240" w:lineRule="auto"/>
        <w:ind w:left="75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</w:pPr>
      <w:r w:rsidRPr="006A23A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Informazioni generali</w:t>
      </w:r>
    </w:p>
    <w:p w:rsid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>
            <wp:extent cx="1714500" cy="1724025"/>
            <wp:effectExtent l="19050" t="0" r="0" b="0"/>
            <wp:docPr id="1" name="Immagine 1" descr="http://www.epicentro.iss.it/focus/erbe/img/fitosorvegli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icentro.iss.it/focus/erbe/img/fitosorveglian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Il ricorso a prodotti di origine naturale è sempre più frequente nel nostro Paese e nel resto del mondo. Una grande varietà di prodotti di origine naturale può essere utilizzata per finalità diverse: a scopo alimentare, voluttuario, estetico o terapeutico. Da qui la distinzione in categorie merceologiche differenti che, nel corso del tempo, sono state disciplinate giuridicamente non in base alla composizione, ma tenendo conto della loro presentazione, finalità d'uso, dose e via di somministrazione.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Nella etichettatura e nella pubblicità degli integratori e degli alimenti è ammessa oggi non solo l’indicazione di specifiche proprietà nutritive ma anche di effetti utili a favorire il benessere dell’organismo in un quadro normativo teso a orientare i consumatori verso scelte consapevoli e sane.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La materia è disciplinata dal regolamento (CE) 1924/2006, che definisce i criteri e le condizioni per i “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claims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” nutrizionali e sulla salute.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b/>
          <w:bCs/>
          <w:color w:val="000000"/>
          <w:sz w:val="21"/>
          <w:lang w:eastAsia="it-IT"/>
        </w:rPr>
        <w:t>I prodotti a base di erbe officinali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Piante medicinali e loro derivati sono spesso impiegate come costituenti di prodotti cosiddetti naturali e di integratori alimentari. In un integratore alimentare le piante devono necessariamente essere presenti in concentrazioni tali da giustificarne un plausibile livello di attività “fisiologica”.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Tutti i prodotti che contengono piante o loro derivati presentano una loro specifica attività farmaco-tossicologica e possono interagire con farmaci di sintesi potenziandone o riducendone gli effetti previsti. Numerose sono le segnalazioni riportate dalla letteratura scientifica in questo senso. Tuttavia, a livello di opinione pubblica e, talvolta, anche tra gli operatori del settore, è diffusa l’opinione che le erbe medicinali siano sostanzialmente innocue in quanto naturali. Pertanto, vengono abitualmente utilizzate come forma di automedicazione, spesso senza informare il medico curante. Questo aumenta i rischi di possibili problemi dovuti a interazioni con farmaci di sintesi, oltre che di possibili effetti collaterali: reazioni allergiche, problemi gastrointestinali ed epatici, ecc.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Controindicazioni specifiche nell’assunzione di prodotti a base di piante possono essere rappresentate da malattie pregresse o in atto (per esempio l’ulcera peptica, l’ipertensione, l’insufficienza renale o epatica), oppure da interventi chirurgici (necessità di sospensione dell’assunzione dei prodotti a base di piante qualche settimana prima,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gastroresezione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ecc). In ultimo, non certo per importanza, è da sottolineare il frequente ricorso a “rimedi naturali” in corso di gravidanza e allattamento proprio allo scopo di evitare farmaci di sintesi. Purtroppo, per la stragrande maggioranza di questi prodotti, non si conoscono i potenziali effetti che possono avere sul feto e sul bambino ed è perciò importante chiedere sempre consiglio al proprio medico e farmacista prima di assumerli.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lastRenderedPageBreak/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Talvolta, anche quando i prodotti a base di piante vengono utilizzati con le modalità più opportune, possono comunque verificarsi una serie di reazioni indesiderate, in relazione alla qualità del prodotto utilizzato: residui di fitofarmaci, erbicidi, metalli pesanti, purezza degli estratti, variabilità dei principi attivi, ecc.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b/>
          <w:bCs/>
          <w:color w:val="000000"/>
          <w:sz w:val="21"/>
          <w:lang w:eastAsia="it-IT"/>
        </w:rPr>
        <w:t>La necessità di una corretta informazione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Un discorso a parte va fatto per l’acquisto tramite internet. Il web, infatti, è diventato un canale di vendita altamente competitivo in termini di facile accesso e convenienza economica. Comprare su internet prodotti per la salute (siano essi farmaci o prodotti di derivazione naturale) non fornisce però alcuna garanzia per quanto riguarda l’efficacia e i controlli di qualità relativi al prodotto acquistato. Al riguardo, si trovano informazioni interessanti sul sito dell’agenzia britannica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Medicines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and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Healthcare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products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Regulatory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Agency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(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Mhra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). Per i prodotti a base di piante comprati on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line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alla oggettiva variabilità intrinseca (concentrazione di principi attivi dipendente dalla specie e dalla parte di pianta utilizzata, condizioni climatiche di crescita della pianta, tempo di raccolta, tipo di estratto, tipo di formulazione e preparazione del prodotto finito), si aggiunge la concreta difficoltà di verificare, da parte del consumatore, l’effettiva esistenza e la concentrazione degli ingredienti dichiarati in etichetta e la presenza di eventuali contaminanti (metalli pesanti, aflatossine, residui di pesticidi).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La molteplice e svariata tipologia delle formulazioni ha reso difficile la loro regolamentazione legislativa, portando all’immissione in commercio di preparati a base di estratti vegetali, spesso importati dai Paesi extraeuropei e composti da droghe vegetali non usate tradizionalmente in Europa. La gran parte delle conoscenze sugli effetti salutistici delle piante si basa infatti soprattutto sull’esperienza maturata attraverso il loro uso tradizionale e l’introduzione in commercio di preparati diversi da quelli abituali (come ad esempio gli estratti secchi ad alto titolo) pone il problema della sicurezza d’impiego di questi prodotti.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b/>
          <w:bCs/>
          <w:color w:val="000000"/>
          <w:sz w:val="21"/>
          <w:lang w:eastAsia="it-IT"/>
        </w:rPr>
        <w:t>Monitorare per prevenire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Il sempre maggiore numero di persone che fa uso dei prodotti di derivazione naturale e la sempre più diffusa pubblicità (non contrapposta a una corretta comunicazione sui potenziali rischi) pone evidentemente l’esigenza di un attento monitoraggio del loro livello di attività nelle varie fasce di popolazione per rilevare eventuali effetti inattesi o reazioni avverse.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Per contribuire alla conoscenza dei potenziali rischi associati all’uso dei prodotti naturali è attivo dal 2002 un</w:t>
      </w:r>
      <w:r w:rsidRPr="006A23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hyperlink r:id="rId5" w:history="1">
        <w:r w:rsidRPr="006A23A9">
          <w:rPr>
            <w:rFonts w:ascii="Verdana" w:eastAsia="Times New Roman" w:hAnsi="Verdana" w:cs="Times New Roman"/>
            <w:color w:val="005EA8"/>
            <w:sz w:val="21"/>
            <w:lang w:eastAsia="it-IT"/>
          </w:rPr>
          <w:t>sistema di sorveglianza delle reazione avverse</w:t>
        </w:r>
      </w:hyperlink>
      <w:r w:rsidRPr="006A23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 questi prodotti. Poiché, infatti, le reazioni avverse da prodotti di origine naturale non possono essere inserite nel sistema nazionale di farmacovigilanza gestito dall’Agenzia italiana del farmaco (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Aifa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), l’Istituto superiore di sanità (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Iss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) in accordo con l’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Aifa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e il ministero della Salute, ha organizzato e coordina un sistema di raccolta delle segnalazioni spontanee di sospette reazioni avverse a questi prodotti.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 </w:t>
      </w:r>
    </w:p>
    <w:p w:rsidR="006A23A9" w:rsidRPr="006A23A9" w:rsidRDefault="006A23A9" w:rsidP="006A23A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</w:pP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Le segnalazioni possono essere effettuate da chiunque osservi una reazione avversa compilando e inviando via fax all’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Iss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 (numero: 06-49904248) una</w:t>
      </w:r>
      <w:r w:rsidRPr="006A23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hyperlink r:id="rId6" w:tooltip="File pdf su nuova finestra" w:history="1">
        <w:r w:rsidRPr="006A23A9">
          <w:rPr>
            <w:rFonts w:ascii="Verdana" w:eastAsia="Times New Roman" w:hAnsi="Verdana" w:cs="Times New Roman"/>
            <w:color w:val="005EA8"/>
            <w:sz w:val="21"/>
            <w:lang w:eastAsia="it-IT"/>
          </w:rPr>
          <w:t>scheda</w:t>
        </w:r>
      </w:hyperlink>
      <w:r w:rsidRPr="006A23A9">
        <w:rPr>
          <w:rFonts w:ascii="Verdana" w:eastAsia="Times New Roman" w:hAnsi="Verdana" w:cs="Times New Roman"/>
          <w:color w:val="000000"/>
          <w:sz w:val="21"/>
          <w:lang w:eastAsia="it-IT"/>
        </w:rPr>
        <w:t> </w:t>
      </w:r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(pdf 130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kb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 xml:space="preserve">), appositamente messa a punto. Non è necessario che chi segnala sia assolutamente certo che l’evento avverso sia riconducibile al prodotto a base di piante, poiché in </w:t>
      </w:r>
      <w:proofErr w:type="spellStart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fitosorveglianza</w:t>
      </w:r>
      <w:proofErr w:type="spellEnd"/>
      <w:r w:rsidRPr="006A23A9">
        <w:rPr>
          <w:rFonts w:ascii="Verdana" w:eastAsia="Times New Roman" w:hAnsi="Verdana" w:cs="Times New Roman"/>
          <w:color w:val="000000"/>
          <w:sz w:val="21"/>
          <w:szCs w:val="21"/>
          <w:lang w:eastAsia="it-IT"/>
        </w:rPr>
        <w:t>, come in farmacovigilanza, si lavora nell’incertezza di un rischio sulla base delle maggiori conoscenze possibili. Gli eventi avversi vengono poi valutati da un gruppo di esperti.</w:t>
      </w:r>
    </w:p>
    <w:sectPr w:rsidR="006A23A9" w:rsidRPr="006A23A9" w:rsidSect="001C4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23A9"/>
    <w:rsid w:val="001C44F6"/>
    <w:rsid w:val="006A23A9"/>
    <w:rsid w:val="0084601D"/>
    <w:rsid w:val="00BA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4F6"/>
  </w:style>
  <w:style w:type="paragraph" w:styleId="Titolo1">
    <w:name w:val="heading 1"/>
    <w:basedOn w:val="Normale"/>
    <w:link w:val="Titolo1Carattere"/>
    <w:uiPriority w:val="9"/>
    <w:qFormat/>
    <w:rsid w:val="006A2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3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23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A23A9"/>
    <w:rPr>
      <w:i/>
      <w:iCs/>
    </w:rPr>
  </w:style>
  <w:style w:type="character" w:customStyle="1" w:styleId="apple-converted-space">
    <w:name w:val="apple-converted-space"/>
    <w:basedOn w:val="Carpredefinitoparagrafo"/>
    <w:rsid w:val="006A23A9"/>
  </w:style>
  <w:style w:type="character" w:styleId="Enfasigrassetto">
    <w:name w:val="Strong"/>
    <w:basedOn w:val="Carpredefinitoparagrafo"/>
    <w:uiPriority w:val="22"/>
    <w:qFormat/>
    <w:rsid w:val="006A23A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A23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8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icentro.iss.it/focus/erbe/pdf/scheda_fito.pdf" TargetMode="External"/><Relationship Id="rId5" Type="http://schemas.openxmlformats.org/officeDocument/2006/relationships/hyperlink" Target="http://www.epicentro.iss.it/focus/erbe/sorv_reaz-avv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comunicazione</cp:lastModifiedBy>
  <cp:revision>2</cp:revision>
  <dcterms:created xsi:type="dcterms:W3CDTF">2017-03-20T12:29:00Z</dcterms:created>
  <dcterms:modified xsi:type="dcterms:W3CDTF">2017-03-20T12:29:00Z</dcterms:modified>
</cp:coreProperties>
</file>