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C0" w:rsidRDefault="00993EC0" w:rsidP="00993EC0">
      <w:pPr>
        <w:pStyle w:val="Normale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93EC0">
        <w:rPr>
          <w:b/>
          <w:color w:val="000000"/>
          <w:sz w:val="28"/>
          <w:szCs w:val="28"/>
        </w:rPr>
        <w:t>REGOLAMENTO GENERALE SULLA PROTEZIONE DEI DATI</w:t>
      </w:r>
    </w:p>
    <w:p w:rsidR="00993EC0" w:rsidRPr="00993EC0" w:rsidRDefault="00993EC0" w:rsidP="00993EC0">
      <w:pPr>
        <w:pStyle w:val="Normale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REGOLAMENTO UE 2016/679 DEL 27 APRILE 2016</w:t>
      </w:r>
    </w:p>
    <w:p w:rsidR="00993EC0" w:rsidRDefault="00993EC0" w:rsidP="00993EC0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D1097" w:rsidRPr="002D289F" w:rsidRDefault="007D1097" w:rsidP="007D1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9F">
        <w:rPr>
          <w:rFonts w:ascii="Times New Roman" w:eastAsia="Times New Roman" w:hAnsi="Times New Roman" w:cs="Times New Roman"/>
          <w:sz w:val="24"/>
          <w:szCs w:val="24"/>
        </w:rPr>
        <w:t>Il 25 maggio 2018 è entrato in vigore ed è diventato obbligatorio per tutti i Paesi dell’Unione Europea il Regolamento UE n. 2016/679, denominato in seguito GDPR, relativo alla protezione dei dati personali.</w:t>
      </w:r>
    </w:p>
    <w:p w:rsidR="007D1097" w:rsidRPr="002D289F" w:rsidRDefault="007D1097" w:rsidP="007D1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9F">
        <w:rPr>
          <w:rFonts w:ascii="Times New Roman" w:eastAsia="Times New Roman" w:hAnsi="Times New Roman" w:cs="Times New Roman"/>
          <w:sz w:val="24"/>
          <w:szCs w:val="24"/>
        </w:rPr>
        <w:t>Con il Decreto Legislativo 10 agosto 2018 n. 101 lo Stato italiano ha recepito il nuovo Regolamento ed ha introdotto disposizioni per l’adeguamento della normativa nazionale al GDPR.</w:t>
      </w:r>
    </w:p>
    <w:p w:rsidR="007D1097" w:rsidRPr="002D289F" w:rsidRDefault="007D1097" w:rsidP="007D1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097" w:rsidRPr="002D289F" w:rsidRDefault="007D1097" w:rsidP="007D1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9F">
        <w:rPr>
          <w:rFonts w:ascii="Times New Roman" w:eastAsia="Times New Roman" w:hAnsi="Times New Roman" w:cs="Times New Roman"/>
          <w:sz w:val="24"/>
          <w:szCs w:val="24"/>
        </w:rPr>
        <w:t>Naturalmente,  visto il  contesto in cui lavoriamo, ciò che maggiormente ci interessa è il trattamento dei dati personali in ambito sanitario.</w:t>
      </w:r>
    </w:p>
    <w:p w:rsidR="007D1097" w:rsidRPr="002D289F" w:rsidRDefault="007D1097" w:rsidP="007D1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9F">
        <w:rPr>
          <w:rFonts w:ascii="Times New Roman" w:eastAsia="Times New Roman" w:hAnsi="Times New Roman" w:cs="Times New Roman"/>
          <w:sz w:val="24"/>
          <w:szCs w:val="24"/>
        </w:rPr>
        <w:t xml:space="preserve">In generale, sono  </w:t>
      </w:r>
      <w:r w:rsidRPr="002D289F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2D289F">
        <w:rPr>
          <w:rFonts w:ascii="Times New Roman" w:eastAsia="Times New Roman" w:hAnsi="Times New Roman" w:cs="Times New Roman"/>
          <w:b/>
          <w:i/>
          <w:sz w:val="24"/>
          <w:szCs w:val="24"/>
        </w:rPr>
        <w:t>dati personali”</w:t>
      </w:r>
      <w:r w:rsidRPr="002D289F">
        <w:rPr>
          <w:rFonts w:ascii="Times New Roman" w:eastAsia="Times New Roman" w:hAnsi="Times New Roman" w:cs="Times New Roman"/>
          <w:sz w:val="24"/>
          <w:szCs w:val="24"/>
        </w:rPr>
        <w:t xml:space="preserve"> tutte quelle informazioni che riguardano una persona fisica identificata o identificabile</w:t>
      </w:r>
      <w:r w:rsidR="002D289F" w:rsidRPr="002D28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289F" w:rsidRDefault="002D289F" w:rsidP="007D1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9F">
        <w:rPr>
          <w:rFonts w:ascii="Times New Roman" w:eastAsia="Times New Roman" w:hAnsi="Times New Roman" w:cs="Times New Roman"/>
          <w:sz w:val="24"/>
          <w:szCs w:val="24"/>
        </w:rPr>
        <w:t>E’ identificabile la persona fisica che può essere identificata, direttamente o indirettamente, facendo riferimento ad un identificativo  (il nome, un numero di identificazione, dati relativi all’ubicazione)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ad uno o più elementi caratteristici della sua identità fisica, fisiologica, genetica, psichica, economica, culturale o sociale (art. 4, n. 1, GDPR).</w:t>
      </w:r>
    </w:p>
    <w:p w:rsidR="00993EC0" w:rsidRPr="002D289F" w:rsidRDefault="002D289F" w:rsidP="002D28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93EC0" w:rsidRPr="002D289F">
        <w:rPr>
          <w:b/>
          <w:color w:val="000000"/>
          <w:sz w:val="24"/>
          <w:szCs w:val="24"/>
        </w:rPr>
        <w:t xml:space="preserve"> </w:t>
      </w:r>
      <w:r w:rsidR="00993EC0" w:rsidRPr="002D289F">
        <w:rPr>
          <w:rFonts w:ascii="Times New Roman" w:hAnsi="Times New Roman" w:cs="Times New Roman"/>
          <w:b/>
          <w:color w:val="000000"/>
          <w:sz w:val="24"/>
          <w:szCs w:val="24"/>
        </w:rPr>
        <w:t>“dati personali relativi alla salute”</w:t>
      </w:r>
      <w:r w:rsidRPr="002D289F">
        <w:rPr>
          <w:rFonts w:ascii="Times New Roman" w:hAnsi="Times New Roman" w:cs="Times New Roman"/>
          <w:color w:val="000000"/>
          <w:sz w:val="24"/>
          <w:szCs w:val="24"/>
        </w:rPr>
        <w:t>, invece, sono</w:t>
      </w:r>
      <w:r w:rsidR="00993EC0" w:rsidRPr="002D28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EC0" w:rsidRPr="002D289F">
        <w:rPr>
          <w:rFonts w:ascii="Times New Roman" w:hAnsi="Times New Roman" w:cs="Times New Roman"/>
          <w:i/>
          <w:color w:val="000000"/>
          <w:sz w:val="24"/>
          <w:szCs w:val="24"/>
        </w:rPr>
        <w:t>“i</w:t>
      </w:r>
      <w:r w:rsidR="00993EC0" w:rsidRPr="002D289F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dati personali attinenti alla salute fisica o mentale di una persona fisica, compresa la prestazione di servizi di assistenza sanitaria, che rivelano informazioni relative al suo stato di salute”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(art. 4, n. 15, GDPR)</w:t>
      </w:r>
    </w:p>
    <w:p w:rsidR="00993EC0" w:rsidRPr="002D289F" w:rsidRDefault="00993EC0" w:rsidP="00993EC0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2D289F">
        <w:rPr>
          <w:color w:val="000000"/>
        </w:rPr>
        <w:t xml:space="preserve">In ragione della loro natura, i dati sanitari sono </w:t>
      </w:r>
      <w:r w:rsidR="002D289F">
        <w:rPr>
          <w:color w:val="000000"/>
        </w:rPr>
        <w:t xml:space="preserve">considerati </w:t>
      </w:r>
      <w:r w:rsidRPr="002D289F">
        <w:rPr>
          <w:color w:val="000000"/>
        </w:rPr>
        <w:t xml:space="preserve">dati sensibili e, quindi,  meritevoli di una specifica protezione sotto il profilo dei diritti e delle libertà fondamentali. </w:t>
      </w:r>
    </w:p>
    <w:p w:rsidR="00EC4387" w:rsidRDefault="00EC4387" w:rsidP="00993EC0">
      <w:pPr>
        <w:pStyle w:val="NormaleWeb"/>
        <w:spacing w:before="0" w:beforeAutospacing="0" w:after="0" w:afterAutospacing="0"/>
        <w:jc w:val="both"/>
        <w:rPr>
          <w:i/>
          <w:color w:val="000000"/>
        </w:rPr>
      </w:pPr>
      <w:r>
        <w:rPr>
          <w:color w:val="000000"/>
        </w:rPr>
        <w:t xml:space="preserve">La loro disciplina, quindi, è dettata dall’art. 9 del GDPR, intitolato “Trattamento di categorie particolari di dati personali”, il cui primo comma dispone che  </w:t>
      </w:r>
      <w:r w:rsidRPr="00EC4387">
        <w:rPr>
          <w:i/>
          <w:color w:val="000000"/>
        </w:rPr>
        <w:t xml:space="preserve">“è vietato trattare dati personali che rivelino l’origine razziale o etnica, le opinioni politiche, le convinzioni religiose o filosofiche, o l’appartenenza sindacale, nonché trattare dati genetici, dati biometrici intesi ad identificare in modo univoco una persona fisica, </w:t>
      </w:r>
      <w:r w:rsidRPr="00EC4387">
        <w:rPr>
          <w:b/>
          <w:i/>
          <w:color w:val="000000"/>
        </w:rPr>
        <w:t>dati relativi alla salute</w:t>
      </w:r>
      <w:r w:rsidRPr="00EC4387">
        <w:rPr>
          <w:i/>
          <w:color w:val="000000"/>
        </w:rPr>
        <w:t xml:space="preserve"> o alla vita sessuale o all’orientamento sessuale della persona”</w:t>
      </w:r>
      <w:r>
        <w:rPr>
          <w:i/>
          <w:color w:val="000000"/>
        </w:rPr>
        <w:t>.</w:t>
      </w:r>
    </w:p>
    <w:p w:rsidR="00EC4387" w:rsidRDefault="00EC4387" w:rsidP="00993EC0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Il comma 2 dell’</w:t>
      </w:r>
      <w:r w:rsidR="00F4520D">
        <w:rPr>
          <w:color w:val="000000"/>
        </w:rPr>
        <w:t>art. 9 prevede delle deroghe al comma 1  ed elenca una serie di eccezioni che rendono lecito il trattamento di queste categorie  particolari di dati personali.</w:t>
      </w:r>
    </w:p>
    <w:p w:rsidR="00F4520D" w:rsidRDefault="00F4520D" w:rsidP="00993EC0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In particolare, il trattamento dei dati relativi alla salute è possibile per:</w:t>
      </w:r>
    </w:p>
    <w:p w:rsidR="00F4520D" w:rsidRDefault="00F4520D" w:rsidP="00F4520D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56552D">
        <w:rPr>
          <w:b/>
          <w:color w:val="000000"/>
        </w:rPr>
        <w:t xml:space="preserve">motivi di interesse pubblico </w:t>
      </w:r>
      <w:r w:rsidRPr="0056552D">
        <w:rPr>
          <w:color w:val="000000"/>
        </w:rPr>
        <w:t>rilevante</w:t>
      </w:r>
      <w:r w:rsidRPr="0056552D">
        <w:rPr>
          <w:b/>
          <w:color w:val="000000"/>
        </w:rPr>
        <w:t xml:space="preserve"> sulla base del diritto dell’Unione o degli Stati membri</w:t>
      </w:r>
      <w:r>
        <w:rPr>
          <w:color w:val="000000"/>
        </w:rPr>
        <w:t xml:space="preserve"> (art. 9, par. 2, lett. g);</w:t>
      </w:r>
    </w:p>
    <w:p w:rsidR="00F4520D" w:rsidRDefault="00F4520D" w:rsidP="00F4520D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56552D">
        <w:rPr>
          <w:b/>
          <w:color w:val="000000"/>
        </w:rPr>
        <w:t>motivi di interesse pubblico nel settore della sanità pubblica</w:t>
      </w:r>
      <w:r>
        <w:rPr>
          <w:color w:val="000000"/>
        </w:rPr>
        <w:t>, quali la protezione da gravi minacce per la salute a carattere transfrontaliero o la garanzia di parametri ele</w:t>
      </w:r>
      <w:r w:rsidR="00425DBF">
        <w:rPr>
          <w:color w:val="000000"/>
        </w:rPr>
        <w:t>vati di qualità e sicurezza dell’assistenza sanitaria e dei medicinali e dei dispositivi medici,</w:t>
      </w:r>
      <w:r>
        <w:rPr>
          <w:color w:val="000000"/>
        </w:rPr>
        <w:t xml:space="preserve"> </w:t>
      </w:r>
      <w:r w:rsidR="00425DBF">
        <w:rPr>
          <w:color w:val="000000"/>
        </w:rPr>
        <w:t>sulla base del diritto dell’Unione o degli Stati membri che prevede misure appropriate e specifiche per tutelare i diritte e le libertà dell’interessato, in particolare il segreto professionale (art. 9, par.2 lett.i);</w:t>
      </w:r>
    </w:p>
    <w:p w:rsidR="00425DBF" w:rsidRDefault="00425DBF" w:rsidP="00F4520D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56552D">
        <w:rPr>
          <w:b/>
          <w:color w:val="000000"/>
        </w:rPr>
        <w:t>finalità di medicina preventiva, diagnosi, assistenza o terapia sanitaria o sociale ovvero gestione dei sistemi e servizi sani</w:t>
      </w:r>
      <w:r w:rsidR="0056552D" w:rsidRPr="0056552D">
        <w:rPr>
          <w:b/>
          <w:color w:val="000000"/>
        </w:rPr>
        <w:t>tar</w:t>
      </w:r>
      <w:r w:rsidRPr="0056552D">
        <w:rPr>
          <w:b/>
          <w:color w:val="000000"/>
        </w:rPr>
        <w:t>i o sociali</w:t>
      </w:r>
      <w:r w:rsidR="0056552D">
        <w:rPr>
          <w:color w:val="000000"/>
        </w:rPr>
        <w:t xml:space="preserve"> (definiti di seguito </w:t>
      </w:r>
      <w:r w:rsidR="0056552D" w:rsidRPr="0056552D">
        <w:rPr>
          <w:b/>
          <w:color w:val="000000"/>
        </w:rPr>
        <w:t>“finalità di cura”</w:t>
      </w:r>
      <w:r w:rsidR="0056552D">
        <w:rPr>
          <w:color w:val="000000"/>
        </w:rPr>
        <w:t>) sulla base del diritto dell’Unione o degli Sati membri o conformemente al contratto con un professionista della sanità (art. 9, par. 2 lett. h).</w:t>
      </w:r>
    </w:p>
    <w:p w:rsidR="0056552D" w:rsidRDefault="00E43019" w:rsidP="00E43019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Dal combinato disposto dei comma 2 lett. h e  3 dell’art. 9, i</w:t>
      </w:r>
      <w:r w:rsidR="0056552D">
        <w:rPr>
          <w:color w:val="000000"/>
        </w:rPr>
        <w:t>l trattamento per finalità di cura  è possibile qualora sia effettuato da o sotto la responsabilità di un professionista soggett</w:t>
      </w:r>
      <w:r>
        <w:rPr>
          <w:color w:val="000000"/>
        </w:rPr>
        <w:t>o</w:t>
      </w:r>
      <w:r w:rsidR="0056552D">
        <w:rPr>
          <w:color w:val="000000"/>
        </w:rPr>
        <w:t xml:space="preserve"> al segreto pr</w:t>
      </w:r>
      <w:r>
        <w:rPr>
          <w:color w:val="000000"/>
        </w:rPr>
        <w:t>ofessionale o da altra persona anch’essa soggetta all’obbligo di segretezza.</w:t>
      </w:r>
    </w:p>
    <w:p w:rsidR="00E43019" w:rsidRDefault="00E43019" w:rsidP="00E43019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Pertanto, come chiarisce il Garante per la Protezione dei Dati Personali nel provvedimento n. 55 del 7 marzo 2019, a differenza del passato, il professionista sanitario soggetto al segreto professionale, non </w:t>
      </w:r>
      <w:r>
        <w:rPr>
          <w:color w:val="000000"/>
        </w:rPr>
        <w:lastRenderedPageBreak/>
        <w:t xml:space="preserve">deve più richiedere il consenso del paziente per i trattamenti necessari alla prestazione sanitaria richiesta, indipendentemente dalla circostanza che operi in qualità di libero professionista ovvero all’interno </w:t>
      </w:r>
      <w:r w:rsidR="004E2071">
        <w:rPr>
          <w:color w:val="000000"/>
        </w:rPr>
        <w:t>di una struttura sanitaria pubblica o privata.</w:t>
      </w:r>
    </w:p>
    <w:p w:rsidR="0056552D" w:rsidRDefault="004E2071" w:rsidP="0056552D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Questa normativa è applicabile qualora i trattamenti di cui all’art. 9, par. 2 lett.h, siano necessari per perseguire le specifiche finalità di cura previste dalla norma. </w:t>
      </w:r>
    </w:p>
    <w:p w:rsidR="004E2071" w:rsidRDefault="004E2071" w:rsidP="0056552D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Qualora, invece, i trattamenti siano attinenti, solo in senso lato, alla cura, ma non  strettamente necessari, allora deve essere richiesto il consenso del paziente.</w:t>
      </w:r>
    </w:p>
    <w:p w:rsidR="004E2071" w:rsidRDefault="004E2071" w:rsidP="0056552D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 titolo esemplificativo</w:t>
      </w:r>
      <w:r w:rsidR="00C1508D">
        <w:rPr>
          <w:color w:val="000000"/>
        </w:rPr>
        <w:t>, non rientrano tra i trattamenti necessari per finalità di cura e richiedono, quindi, il consenso:</w:t>
      </w:r>
    </w:p>
    <w:p w:rsidR="00C1508D" w:rsidRDefault="00C1508D" w:rsidP="00C1508D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8A11BD">
        <w:rPr>
          <w:b/>
          <w:color w:val="000000"/>
        </w:rPr>
        <w:t>i trattamenti connessi all’utilizzo di App mediche</w:t>
      </w:r>
      <w:r>
        <w:rPr>
          <w:color w:val="000000"/>
        </w:rPr>
        <w:t>, attraverso le quali autonomi titolari raccolgono dati, anche sanitari, dell’interessato, per finalità diverse dalla telemedicina ovvero quando</w:t>
      </w:r>
      <w:r w:rsidR="008A11BD">
        <w:rPr>
          <w:color w:val="000000"/>
        </w:rPr>
        <w:t xml:space="preserve"> a</w:t>
      </w:r>
      <w:r>
        <w:rPr>
          <w:color w:val="000000"/>
        </w:rPr>
        <w:t>i dati possano aver accesso soggetti diversi dai professionisti sanitari  o da altri soggetti tenuti al segreto professionale;</w:t>
      </w:r>
    </w:p>
    <w:p w:rsidR="00C1508D" w:rsidRDefault="00C1508D" w:rsidP="00C1508D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8A11BD">
        <w:rPr>
          <w:b/>
          <w:color w:val="000000"/>
        </w:rPr>
        <w:t xml:space="preserve">trattamenti effettuati in campo sanitario da persone giuridiche private </w:t>
      </w:r>
      <w:r w:rsidR="008A11BD" w:rsidRPr="008A11BD">
        <w:rPr>
          <w:b/>
          <w:color w:val="000000"/>
        </w:rPr>
        <w:t>p</w:t>
      </w:r>
      <w:r w:rsidRPr="008A11BD">
        <w:rPr>
          <w:b/>
          <w:color w:val="000000"/>
        </w:rPr>
        <w:t>er finalità promozionali o commerciali</w:t>
      </w:r>
      <w:r>
        <w:rPr>
          <w:color w:val="000000"/>
        </w:rPr>
        <w:t>;</w:t>
      </w:r>
    </w:p>
    <w:p w:rsidR="00C1508D" w:rsidRPr="008A11BD" w:rsidRDefault="00C1508D" w:rsidP="00C1508D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/>
        </w:rPr>
      </w:pPr>
      <w:r w:rsidRPr="008A11BD">
        <w:rPr>
          <w:b/>
          <w:color w:val="000000"/>
        </w:rPr>
        <w:t>trattamenti effettuati da professionisti sanitari per finalità commerciali o elettorali;</w:t>
      </w:r>
    </w:p>
    <w:p w:rsidR="00C1508D" w:rsidRDefault="00C1508D" w:rsidP="00C1508D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8A11BD">
        <w:rPr>
          <w:b/>
          <w:color w:val="000000"/>
        </w:rPr>
        <w:t>trattamenti effettuati attraverso il Fascicolo Sanitario Elettr</w:t>
      </w:r>
      <w:r w:rsidR="00FA0207" w:rsidRPr="008A11BD">
        <w:rPr>
          <w:b/>
          <w:color w:val="000000"/>
        </w:rPr>
        <w:t>onico</w:t>
      </w:r>
      <w:r w:rsidR="00FA0207">
        <w:rPr>
          <w:color w:val="000000"/>
        </w:rPr>
        <w:t>, in tal</w:t>
      </w:r>
      <w:r>
        <w:rPr>
          <w:color w:val="000000"/>
        </w:rPr>
        <w:t xml:space="preserve"> caso l’acquisizione del consenso è richies</w:t>
      </w:r>
      <w:r w:rsidR="00FA0207">
        <w:rPr>
          <w:color w:val="000000"/>
        </w:rPr>
        <w:t>ta dalla normativa di settore, la cui osservanza è imposta dall’art. 75 del Codice.</w:t>
      </w:r>
    </w:p>
    <w:p w:rsidR="00FA0207" w:rsidRDefault="00FA0207" w:rsidP="00FA0207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Con riferimento ai trattamenti effettuati attraverso il Dossier Sanitario, il consenso è attualmente richiesto dalle Linee guida emanate dal Garamte prima dell’applicazione del nuovo Regolamento, ma, alla luce del quadro giuridico vigente, l’Autorità dovrà individuare i trattamenti da effettuare senza consenso.</w:t>
      </w:r>
    </w:p>
    <w:p w:rsidR="00FA0207" w:rsidRDefault="00FA0207" w:rsidP="00FA0207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Diverso, invece, è il caso della refertazione on line, per la quale  il consenso dell’interessato è richiesto dalle disposizioni di settore in relazione alle modalità di consegna dei referti.</w:t>
      </w:r>
    </w:p>
    <w:p w:rsidR="005B372A" w:rsidRDefault="005B372A" w:rsidP="00993EC0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993EC0" w:rsidRPr="002D289F" w:rsidRDefault="005B372A" w:rsidP="00993EC0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In ottemperanza al principio di trasparenza previsto dall’art. 5, par.1 lett. a), del Regolamento, </w:t>
      </w:r>
      <w:r w:rsidR="00993EC0" w:rsidRPr="002D289F">
        <w:rPr>
          <w:color w:val="000000"/>
        </w:rPr>
        <w:t xml:space="preserve">il titolare del trattamento deve adottare misure appropriate per fornire all’interessato tutte le informazoni  relative al </w:t>
      </w:r>
      <w:r>
        <w:rPr>
          <w:color w:val="000000"/>
        </w:rPr>
        <w:t xml:space="preserve">trattamento dei dati personali, al fine di renderlo consapevole </w:t>
      </w:r>
      <w:r w:rsidR="00E65119">
        <w:rPr>
          <w:color w:val="000000"/>
        </w:rPr>
        <w:t>sulle principali caratteristiche dello stesso.</w:t>
      </w:r>
      <w:r>
        <w:rPr>
          <w:color w:val="000000"/>
        </w:rPr>
        <w:t xml:space="preserve"> </w:t>
      </w:r>
    </w:p>
    <w:p w:rsidR="00993EC0" w:rsidRDefault="00993EC0" w:rsidP="00993EC0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2D289F">
        <w:rPr>
          <w:color w:val="000000"/>
        </w:rPr>
        <w:t>Tale informativa deve essere concisa, trasparente, intellegibile e facilmente accessibile, con un linguaggio semplice e chiaro, in particolare in caso di informazioni destinate ai minori.</w:t>
      </w:r>
    </w:p>
    <w:p w:rsidR="000213EB" w:rsidRDefault="000213EB" w:rsidP="00993EC0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0213EB" w:rsidRDefault="000213EB" w:rsidP="000213EB">
      <w:pPr>
        <w:pStyle w:val="Normale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Il Responsabile Protezione Dati</w:t>
      </w:r>
    </w:p>
    <w:p w:rsidR="000213EB" w:rsidRPr="002D289F" w:rsidRDefault="000213EB" w:rsidP="000213EB">
      <w:pPr>
        <w:pStyle w:val="Normale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Dott.ssa Maria Grazia Vavalà</w:t>
      </w:r>
    </w:p>
    <w:sectPr w:rsidR="000213EB" w:rsidRPr="002D289F" w:rsidSect="00993EC0">
      <w:headerReference w:type="default" r:id="rId7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508" w:rsidRDefault="00463508" w:rsidP="00993EC0">
      <w:pPr>
        <w:spacing w:after="0" w:line="240" w:lineRule="auto"/>
      </w:pPr>
      <w:r>
        <w:separator/>
      </w:r>
    </w:p>
  </w:endnote>
  <w:endnote w:type="continuationSeparator" w:id="1">
    <w:p w:rsidR="00463508" w:rsidRDefault="00463508" w:rsidP="0099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508" w:rsidRDefault="00463508" w:rsidP="00993EC0">
      <w:pPr>
        <w:spacing w:after="0" w:line="240" w:lineRule="auto"/>
      </w:pPr>
      <w:r>
        <w:separator/>
      </w:r>
    </w:p>
  </w:footnote>
  <w:footnote w:type="continuationSeparator" w:id="1">
    <w:p w:rsidR="00463508" w:rsidRDefault="00463508" w:rsidP="0099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EC0" w:rsidRDefault="00993EC0" w:rsidP="00993EC0">
    <w:pPr>
      <w:pStyle w:val="Intestazione"/>
    </w:pPr>
    <w:r>
      <w:rPr>
        <w:rFonts w:ascii="Verdana" w:hAnsi="Verdana"/>
        <w:b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-243839</wp:posOffset>
          </wp:positionH>
          <wp:positionV relativeFrom="paragraph">
            <wp:posOffset>7620</wp:posOffset>
          </wp:positionV>
          <wp:extent cx="1224959" cy="829340"/>
          <wp:effectExtent l="19050" t="0" r="0" b="0"/>
          <wp:wrapNone/>
          <wp:docPr id="1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59" cy="82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5704840</wp:posOffset>
          </wp:positionH>
          <wp:positionV relativeFrom="paragraph">
            <wp:posOffset>-118110</wp:posOffset>
          </wp:positionV>
          <wp:extent cx="532765" cy="698500"/>
          <wp:effectExtent l="19050" t="0" r="635" b="0"/>
          <wp:wrapTight wrapText="bothSides">
            <wp:wrapPolygon edited="0">
              <wp:start x="-772" y="0"/>
              <wp:lineTo x="-772" y="21207"/>
              <wp:lineTo x="21626" y="21207"/>
              <wp:lineTo x="21626" y="0"/>
              <wp:lineTo x="-772" y="0"/>
            </wp:wrapPolygon>
          </wp:wrapTight>
          <wp:docPr id="8" name="Immagine 4" descr="C:\Users\user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user\Desktop\downlo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5704840</wp:posOffset>
          </wp:positionH>
          <wp:positionV relativeFrom="paragraph">
            <wp:posOffset>-118110</wp:posOffset>
          </wp:positionV>
          <wp:extent cx="532765" cy="698500"/>
          <wp:effectExtent l="19050" t="0" r="635" b="0"/>
          <wp:wrapTight wrapText="bothSides">
            <wp:wrapPolygon edited="0">
              <wp:start x="-772" y="0"/>
              <wp:lineTo x="-772" y="21207"/>
              <wp:lineTo x="21626" y="21207"/>
              <wp:lineTo x="21626" y="0"/>
              <wp:lineTo x="-772" y="0"/>
            </wp:wrapPolygon>
          </wp:wrapTight>
          <wp:docPr id="7" name="Immagine 4" descr="C:\Users\user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user\Desktop\downlo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5704840</wp:posOffset>
          </wp:positionH>
          <wp:positionV relativeFrom="paragraph">
            <wp:posOffset>-118110</wp:posOffset>
          </wp:positionV>
          <wp:extent cx="532765" cy="698500"/>
          <wp:effectExtent l="19050" t="0" r="635" b="0"/>
          <wp:wrapTight wrapText="bothSides">
            <wp:wrapPolygon edited="0">
              <wp:start x="-772" y="0"/>
              <wp:lineTo x="-772" y="21207"/>
              <wp:lineTo x="21626" y="21207"/>
              <wp:lineTo x="21626" y="0"/>
              <wp:lineTo x="-772" y="0"/>
            </wp:wrapPolygon>
          </wp:wrapTight>
          <wp:docPr id="5" name="Immagine 4" descr="C:\Users\user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user\Desktop\downlo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3EC0" w:rsidRPr="00F566AC" w:rsidRDefault="00993EC0" w:rsidP="00993EC0">
    <w:pPr>
      <w:pStyle w:val="Intestazione"/>
      <w:tabs>
        <w:tab w:val="center" w:pos="5102"/>
      </w:tabs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 xml:space="preserve">    </w:t>
    </w:r>
    <w:r w:rsidRPr="00F566AC">
      <w:rPr>
        <w:rFonts w:ascii="Verdana" w:hAnsi="Verdana"/>
        <w:b/>
        <w:sz w:val="28"/>
        <w:szCs w:val="28"/>
      </w:rPr>
      <w:t>AZIENDA SANITARIA PROVINCIALE</w:t>
    </w:r>
  </w:p>
  <w:p w:rsidR="00993EC0" w:rsidRPr="00F566AC" w:rsidRDefault="00993EC0" w:rsidP="00993EC0">
    <w:pPr>
      <w:pStyle w:val="Intestazione"/>
      <w:jc w:val="center"/>
      <w:rPr>
        <w:rFonts w:ascii="Verdana" w:hAnsi="Verdana"/>
        <w:b/>
        <w:sz w:val="28"/>
        <w:szCs w:val="28"/>
      </w:rPr>
    </w:pPr>
    <w:r w:rsidRPr="00F566AC">
      <w:rPr>
        <w:rFonts w:ascii="Verdana" w:hAnsi="Verdana"/>
        <w:b/>
        <w:sz w:val="28"/>
        <w:szCs w:val="28"/>
      </w:rPr>
      <w:t>VIBO VALENTIA</w:t>
    </w:r>
  </w:p>
  <w:p w:rsidR="00993EC0" w:rsidRPr="00F566AC" w:rsidRDefault="00993EC0" w:rsidP="00993EC0">
    <w:pPr>
      <w:pStyle w:val="Intestazione"/>
      <w:tabs>
        <w:tab w:val="clear" w:pos="9638"/>
        <w:tab w:val="center" w:pos="5102"/>
        <w:tab w:val="left" w:pos="5280"/>
        <w:tab w:val="left" w:pos="8805"/>
      </w:tabs>
      <w:jc w:val="right"/>
      <w:rPr>
        <w:rFonts w:ascii="Verdana" w:hAnsi="Verdana"/>
        <w:sz w:val="16"/>
        <w:szCs w:val="16"/>
      </w:rPr>
    </w:pPr>
    <w:r w:rsidRPr="00F566AC">
      <w:rPr>
        <w:rFonts w:ascii="Verdana" w:hAnsi="Verdana"/>
        <w:sz w:val="16"/>
        <w:szCs w:val="16"/>
      </w:rPr>
      <w:tab/>
    </w:r>
    <w:r w:rsidRPr="00F566AC">
      <w:rPr>
        <w:rFonts w:ascii="Verdana" w:hAnsi="Verdana"/>
        <w:sz w:val="16"/>
        <w:szCs w:val="16"/>
      </w:rPr>
      <w:tab/>
    </w:r>
    <w:r w:rsidRPr="00F566AC">
      <w:rPr>
        <w:rFonts w:ascii="Verdana" w:hAnsi="Verdana"/>
        <w:sz w:val="16"/>
        <w:szCs w:val="16"/>
      </w:rPr>
      <w:tab/>
      <w:t xml:space="preserve">                   </w:t>
    </w:r>
    <w:r>
      <w:rPr>
        <w:rFonts w:ascii="Verdana" w:hAnsi="Verdana"/>
        <w:sz w:val="16"/>
        <w:szCs w:val="16"/>
      </w:rPr>
      <w:t xml:space="preserve">                             REGIONE </w:t>
    </w:r>
    <w:r w:rsidRPr="00F566AC">
      <w:rPr>
        <w:rFonts w:ascii="Verdana" w:hAnsi="Verdana"/>
        <w:sz w:val="16"/>
        <w:szCs w:val="16"/>
      </w:rPr>
      <w:t>CALABRIA</w:t>
    </w:r>
  </w:p>
  <w:p w:rsidR="00993EC0" w:rsidRDefault="001F3BC5" w:rsidP="00993EC0">
    <w:pPr>
      <w:pStyle w:val="Intestazione"/>
      <w:tabs>
        <w:tab w:val="clear" w:pos="4819"/>
        <w:tab w:val="clear" w:pos="9638"/>
        <w:tab w:val="left" w:pos="3844"/>
      </w:tabs>
    </w:pPr>
    <w:r w:rsidRPr="001F3BC5">
      <w:rPr>
        <w:rFonts w:ascii="Verdana" w:hAnsi="Verdana"/>
        <w:noProof/>
        <w:sz w:val="16"/>
        <w:szCs w:val="16"/>
        <w:lang w:bidi="it-IT"/>
      </w:rPr>
      <w:pict>
        <v:line id="_x0000_s2049" style="position:absolute;z-index:251660288" from="110.45pt,.6pt" to="402.2pt,.6pt" strokecolor="#339" strokeweight="1.25pt"/>
      </w:pict>
    </w:r>
    <w:r w:rsidR="00993EC0" w:rsidRPr="00F566AC">
      <w:rPr>
        <w:rFonts w:ascii="Verdana" w:hAnsi="Verdana"/>
        <w:sz w:val="16"/>
        <w:szCs w:val="16"/>
      </w:rPr>
      <w:tab/>
    </w:r>
    <w:r w:rsidR="00993EC0" w:rsidRPr="00F566AC">
      <w:rPr>
        <w:rFonts w:ascii="Verdana" w:hAnsi="Verdana"/>
        <w:sz w:val="16"/>
        <w:szCs w:val="16"/>
      </w:rPr>
      <w:br/>
    </w:r>
    <w:r w:rsidR="00993EC0">
      <w:tab/>
    </w:r>
  </w:p>
  <w:p w:rsidR="00993EC0" w:rsidRDefault="00993EC0" w:rsidP="00993EC0">
    <w:pPr>
      <w:pStyle w:val="Intestazione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BBD"/>
    <w:multiLevelType w:val="hybridMultilevel"/>
    <w:tmpl w:val="1B46D3C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D82AA8"/>
    <w:multiLevelType w:val="hybridMultilevel"/>
    <w:tmpl w:val="649C2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7728F"/>
    <w:multiLevelType w:val="hybridMultilevel"/>
    <w:tmpl w:val="5DF4C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3EC0"/>
    <w:rsid w:val="000213EB"/>
    <w:rsid w:val="000504F2"/>
    <w:rsid w:val="000E090D"/>
    <w:rsid w:val="001F3BC5"/>
    <w:rsid w:val="002D289F"/>
    <w:rsid w:val="00425DBF"/>
    <w:rsid w:val="00463508"/>
    <w:rsid w:val="004E2071"/>
    <w:rsid w:val="0056552D"/>
    <w:rsid w:val="005B372A"/>
    <w:rsid w:val="00672FF9"/>
    <w:rsid w:val="007D1097"/>
    <w:rsid w:val="008A11BD"/>
    <w:rsid w:val="00993EC0"/>
    <w:rsid w:val="00C1508D"/>
    <w:rsid w:val="00E43019"/>
    <w:rsid w:val="00E65119"/>
    <w:rsid w:val="00EC4387"/>
    <w:rsid w:val="00F4520D"/>
    <w:rsid w:val="00FA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2F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93EC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9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93EC0"/>
    <w:rPr>
      <w:i/>
      <w:iCs/>
    </w:rPr>
  </w:style>
  <w:style w:type="paragraph" w:styleId="Intestazione">
    <w:name w:val="header"/>
    <w:basedOn w:val="Normale"/>
    <w:link w:val="IntestazioneCarattere"/>
    <w:unhideWhenUsed/>
    <w:rsid w:val="00993E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93EC0"/>
  </w:style>
  <w:style w:type="paragraph" w:styleId="Pidipagina">
    <w:name w:val="footer"/>
    <w:basedOn w:val="Normale"/>
    <w:link w:val="PidipaginaCarattere"/>
    <w:uiPriority w:val="99"/>
    <w:semiHidden/>
    <w:unhideWhenUsed/>
    <w:rsid w:val="00993E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3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2019-05-31T13:36:00Z</dcterms:created>
  <dcterms:modified xsi:type="dcterms:W3CDTF">2019-08-07T09:18:00Z</dcterms:modified>
</cp:coreProperties>
</file>